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outlineLvl w:val="0"/>
        <w:rPr>
          <w:rFonts w:hint="eastAsia" w:ascii="方正小标宋简体" w:hAnsi="方正小标宋简体" w:eastAsia="方正小标宋简体"/>
          <w:sz w:val="24"/>
          <w:szCs w:val="24"/>
        </w:rPr>
      </w:pPr>
      <w:bookmarkStart w:id="0" w:name="_GoBack"/>
      <w:bookmarkEnd w:id="0"/>
    </w:p>
    <w:p>
      <w:pPr>
        <w:spacing w:line="560" w:lineRule="exact"/>
        <w:jc w:val="center"/>
        <w:outlineLvl w:val="0"/>
        <w:rPr>
          <w:rFonts w:hint="eastAsia" w:ascii="方正小标宋简体" w:hAnsi="方正小标宋简体" w:eastAsia="宋体"/>
          <w:sz w:val="24"/>
          <w:szCs w:val="24"/>
        </w:rPr>
      </w:pPr>
      <w:r>
        <w:rPr>
          <w:rFonts w:hint="eastAsia" w:ascii="方正小标宋简体" w:hAnsi="方正小标宋简体" w:eastAsia="宋体"/>
          <w:sz w:val="24"/>
          <w:szCs w:val="24"/>
        </w:rPr>
        <w:t>202</w:t>
      </w:r>
      <w:r>
        <w:rPr>
          <w:rFonts w:hint="eastAsia" w:ascii="方正小标宋简体" w:hAnsi="方正小标宋简体" w:eastAsia="宋体"/>
          <w:sz w:val="24"/>
          <w:szCs w:val="24"/>
          <w:lang w:val="en-US" w:eastAsia="zh-CN"/>
        </w:rPr>
        <w:t>2</w:t>
      </w:r>
      <w:r>
        <w:rPr>
          <w:rFonts w:hint="eastAsia" w:ascii="方正小标宋简体" w:hAnsi="方正小标宋简体" w:eastAsia="宋体"/>
          <w:sz w:val="24"/>
          <w:szCs w:val="24"/>
        </w:rPr>
        <w:t>年能源监管重点任务清单</w:t>
      </w:r>
    </w:p>
    <w:tbl>
      <w:tblPr>
        <w:tblStyle w:val="8"/>
        <w:tblpPr w:leftFromText="180" w:rightFromText="180" w:vertAnchor="text" w:horzAnchor="page" w:tblpXSpec="center" w:tblpY="548"/>
        <w:tblOverlap w:val="never"/>
        <w:tblW w:w="144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2"/>
        <w:gridCol w:w="1331"/>
        <w:gridCol w:w="3389"/>
        <w:gridCol w:w="3053"/>
        <w:gridCol w:w="1276"/>
        <w:gridCol w:w="1721"/>
        <w:gridCol w:w="1392"/>
        <w:gridCol w:w="1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jc w:val="center"/>
        </w:trPr>
        <w:tc>
          <w:tcPr>
            <w:tcW w:w="14422" w:type="dxa"/>
            <w:gridSpan w:val="8"/>
            <w:noWrap w:val="0"/>
            <w:vAlign w:val="center"/>
          </w:tcPr>
          <w:p>
            <w:pPr>
              <w:spacing w:line="400" w:lineRule="exact"/>
              <w:jc w:val="center"/>
              <w:rPr>
                <w:rFonts w:hint="default" w:ascii="Times New Roman" w:hAnsi="Times New Roman" w:eastAsia="仿宋_GB2312" w:cs="Times New Roman"/>
                <w:b/>
                <w:sz w:val="24"/>
                <w:szCs w:val="24"/>
              </w:rPr>
            </w:pPr>
            <w:r>
              <w:rPr>
                <w:rFonts w:hint="eastAsia" w:ascii="宋体" w:hAnsi="宋体" w:eastAsia="宋体" w:cs="宋体"/>
                <w:sz w:val="24"/>
                <w:szCs w:val="24"/>
              </w:rPr>
              <w:t>一、综合监管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jc w:val="center"/>
        </w:trPr>
        <w:tc>
          <w:tcPr>
            <w:tcW w:w="562" w:type="dxa"/>
            <w:noWrap w:val="0"/>
            <w:vAlign w:val="center"/>
          </w:tcPr>
          <w:p>
            <w:pPr>
              <w:spacing w:line="400" w:lineRule="exact"/>
              <w:jc w:val="center"/>
              <w:rPr>
                <w:rFonts w:hint="default" w:ascii="宋体" w:hAnsi="宋体" w:eastAsia="宋体" w:cs="宋体"/>
                <w:sz w:val="24"/>
                <w:szCs w:val="24"/>
                <w:lang w:val="en-US" w:eastAsia="zh-CN"/>
              </w:rPr>
            </w:pPr>
            <w:r>
              <w:rPr>
                <w:rFonts w:hint="default" w:ascii="宋体" w:hAnsi="宋体" w:eastAsia="宋体" w:cs="宋体"/>
                <w:sz w:val="24"/>
                <w:szCs w:val="24"/>
              </w:rPr>
              <w:t>序号</w:t>
            </w:r>
          </w:p>
        </w:tc>
        <w:tc>
          <w:tcPr>
            <w:tcW w:w="1331" w:type="dxa"/>
            <w:noWrap w:val="0"/>
            <w:vAlign w:val="center"/>
          </w:tcPr>
          <w:p>
            <w:pPr>
              <w:spacing w:line="400" w:lineRule="exact"/>
              <w:jc w:val="center"/>
              <w:rPr>
                <w:rFonts w:hint="default" w:ascii="宋体" w:hAnsi="宋体" w:eastAsia="宋体" w:cs="宋体"/>
                <w:sz w:val="24"/>
                <w:szCs w:val="24"/>
                <w:lang w:val="en-US" w:eastAsia="zh-CN"/>
              </w:rPr>
            </w:pPr>
            <w:r>
              <w:rPr>
                <w:rFonts w:hint="default" w:ascii="宋体" w:hAnsi="宋体" w:eastAsia="宋体" w:cs="宋体"/>
                <w:sz w:val="24"/>
                <w:szCs w:val="24"/>
              </w:rPr>
              <w:t>监管名称</w:t>
            </w:r>
          </w:p>
        </w:tc>
        <w:tc>
          <w:tcPr>
            <w:tcW w:w="3389" w:type="dxa"/>
            <w:noWrap w:val="0"/>
            <w:vAlign w:val="center"/>
          </w:tcPr>
          <w:p>
            <w:pPr>
              <w:spacing w:line="400" w:lineRule="exact"/>
              <w:jc w:val="center"/>
              <w:rPr>
                <w:rFonts w:hint="default" w:ascii="宋体" w:hAnsi="宋体" w:eastAsia="宋体" w:cs="宋体"/>
                <w:sz w:val="24"/>
                <w:szCs w:val="24"/>
                <w:lang w:val="en-US" w:eastAsia="zh-CN"/>
              </w:rPr>
            </w:pPr>
            <w:r>
              <w:rPr>
                <w:rFonts w:hint="default" w:ascii="宋体" w:hAnsi="宋体" w:eastAsia="宋体" w:cs="宋体"/>
                <w:sz w:val="24"/>
                <w:szCs w:val="24"/>
              </w:rPr>
              <w:t>监管依据</w:t>
            </w:r>
          </w:p>
        </w:tc>
        <w:tc>
          <w:tcPr>
            <w:tcW w:w="3053" w:type="dxa"/>
            <w:noWrap w:val="0"/>
            <w:vAlign w:val="center"/>
          </w:tcPr>
          <w:p>
            <w:pPr>
              <w:spacing w:line="400" w:lineRule="exact"/>
              <w:jc w:val="center"/>
              <w:rPr>
                <w:rFonts w:hint="default" w:ascii="宋体" w:hAnsi="宋体" w:eastAsia="宋体" w:cs="宋体"/>
                <w:sz w:val="24"/>
                <w:szCs w:val="24"/>
                <w:lang w:val="en-US" w:eastAsia="zh-CN"/>
              </w:rPr>
            </w:pPr>
            <w:r>
              <w:rPr>
                <w:rFonts w:hint="default" w:ascii="宋体" w:hAnsi="宋体" w:eastAsia="宋体" w:cs="宋体"/>
                <w:sz w:val="24"/>
                <w:szCs w:val="24"/>
              </w:rPr>
              <w:t>监管内容</w:t>
            </w:r>
          </w:p>
        </w:tc>
        <w:tc>
          <w:tcPr>
            <w:tcW w:w="1276" w:type="dxa"/>
            <w:noWrap w:val="0"/>
            <w:vAlign w:val="center"/>
          </w:tcPr>
          <w:p>
            <w:pPr>
              <w:spacing w:line="400" w:lineRule="exact"/>
              <w:jc w:val="center"/>
              <w:rPr>
                <w:rFonts w:hint="default" w:ascii="宋体" w:hAnsi="宋体" w:eastAsia="宋体" w:cs="宋体"/>
                <w:sz w:val="24"/>
                <w:szCs w:val="24"/>
                <w:lang w:val="en-US" w:eastAsia="zh-CN"/>
              </w:rPr>
            </w:pPr>
            <w:r>
              <w:rPr>
                <w:rFonts w:hint="default" w:ascii="宋体" w:hAnsi="宋体" w:eastAsia="宋体" w:cs="宋体"/>
                <w:sz w:val="24"/>
                <w:szCs w:val="24"/>
              </w:rPr>
              <w:t>监管地区</w:t>
            </w:r>
          </w:p>
        </w:tc>
        <w:tc>
          <w:tcPr>
            <w:tcW w:w="1721" w:type="dxa"/>
            <w:noWrap w:val="0"/>
            <w:vAlign w:val="center"/>
          </w:tcPr>
          <w:p>
            <w:pPr>
              <w:spacing w:line="400" w:lineRule="exact"/>
              <w:jc w:val="center"/>
              <w:rPr>
                <w:rFonts w:hint="default" w:ascii="宋体" w:hAnsi="宋体" w:eastAsia="宋体" w:cs="宋体"/>
                <w:sz w:val="24"/>
                <w:szCs w:val="24"/>
                <w:lang w:val="en-US" w:eastAsia="zh-CN"/>
              </w:rPr>
            </w:pPr>
            <w:r>
              <w:rPr>
                <w:rFonts w:hint="default" w:ascii="宋体" w:hAnsi="宋体" w:eastAsia="宋体" w:cs="宋体"/>
                <w:sz w:val="24"/>
                <w:szCs w:val="24"/>
              </w:rPr>
              <w:t>监管（监督）对象</w:t>
            </w:r>
          </w:p>
        </w:tc>
        <w:tc>
          <w:tcPr>
            <w:tcW w:w="1392" w:type="dxa"/>
            <w:noWrap w:val="0"/>
            <w:vAlign w:val="center"/>
          </w:tcPr>
          <w:p>
            <w:pPr>
              <w:spacing w:line="400" w:lineRule="exact"/>
              <w:jc w:val="center"/>
              <w:rPr>
                <w:rFonts w:hint="default" w:ascii="宋体" w:hAnsi="宋体" w:eastAsia="宋体" w:cs="宋体"/>
                <w:sz w:val="24"/>
                <w:szCs w:val="24"/>
                <w:lang w:val="en-US" w:eastAsia="zh-CN"/>
              </w:rPr>
            </w:pPr>
            <w:r>
              <w:rPr>
                <w:rFonts w:hint="default" w:ascii="宋体" w:hAnsi="宋体" w:eastAsia="宋体" w:cs="宋体"/>
                <w:sz w:val="24"/>
                <w:szCs w:val="24"/>
              </w:rPr>
              <w:t>时间安排</w:t>
            </w:r>
          </w:p>
        </w:tc>
        <w:tc>
          <w:tcPr>
            <w:tcW w:w="1698" w:type="dxa"/>
            <w:noWrap w:val="0"/>
            <w:vAlign w:val="center"/>
          </w:tcPr>
          <w:p>
            <w:pPr>
              <w:spacing w:line="400" w:lineRule="exact"/>
              <w:jc w:val="center"/>
              <w:rPr>
                <w:rFonts w:hint="default" w:ascii="宋体" w:hAnsi="宋体" w:eastAsia="宋体" w:cs="宋体"/>
                <w:sz w:val="24"/>
                <w:szCs w:val="24"/>
                <w:lang w:val="en-US" w:eastAsia="zh-CN"/>
              </w:rPr>
            </w:pPr>
            <w:r>
              <w:rPr>
                <w:rFonts w:hint="default" w:ascii="宋体" w:hAnsi="宋体" w:eastAsia="宋体" w:cs="宋体"/>
                <w:sz w:val="24"/>
                <w:szCs w:val="24"/>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62" w:type="dxa"/>
            <w:noWrap w:val="0"/>
            <w:vAlign w:val="center"/>
          </w:tcPr>
          <w:p>
            <w:pPr>
              <w:spacing w:line="40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w:t>
            </w:r>
          </w:p>
        </w:tc>
        <w:tc>
          <w:tcPr>
            <w:tcW w:w="1331" w:type="dxa"/>
            <w:noWrap w:val="0"/>
            <w:vAlign w:val="center"/>
          </w:tcPr>
          <w:p>
            <w:pPr>
              <w:spacing w:line="400" w:lineRule="exact"/>
              <w:jc w:val="center"/>
              <w:rPr>
                <w:rFonts w:hint="default" w:ascii="宋体" w:hAnsi="宋体" w:eastAsia="宋体" w:cs="宋体"/>
                <w:sz w:val="24"/>
                <w:szCs w:val="24"/>
              </w:rPr>
            </w:pPr>
            <w:r>
              <w:rPr>
                <w:rFonts w:hint="default" w:ascii="宋体" w:hAnsi="宋体" w:eastAsia="宋体" w:cs="宋体"/>
                <w:sz w:val="24"/>
                <w:szCs w:val="24"/>
                <w:lang w:eastAsia="zh-CN"/>
              </w:rPr>
              <w:t>电力驻点综</w:t>
            </w:r>
            <w:r>
              <w:rPr>
                <w:rFonts w:hint="default" w:ascii="宋体" w:hAnsi="宋体" w:eastAsia="宋体" w:cs="宋体"/>
                <w:sz w:val="24"/>
                <w:szCs w:val="24"/>
              </w:rPr>
              <w:t>合监管</w:t>
            </w:r>
          </w:p>
        </w:tc>
        <w:tc>
          <w:tcPr>
            <w:tcW w:w="3389" w:type="dxa"/>
            <w:noWrap w:val="0"/>
            <w:vAlign w:val="center"/>
          </w:tcPr>
          <w:p>
            <w:pPr>
              <w:spacing w:line="400" w:lineRule="exact"/>
              <w:jc w:val="center"/>
              <w:rPr>
                <w:rFonts w:hint="default" w:ascii="宋体" w:hAnsi="宋体" w:eastAsia="宋体" w:cs="宋体"/>
                <w:sz w:val="24"/>
                <w:szCs w:val="24"/>
                <w:lang w:val="en-US" w:eastAsia="zh-CN"/>
              </w:rPr>
            </w:pPr>
            <w:r>
              <w:rPr>
                <w:rFonts w:hint="default" w:ascii="宋体" w:hAnsi="宋体" w:eastAsia="宋体" w:cs="宋体"/>
                <w:sz w:val="24"/>
                <w:szCs w:val="24"/>
              </w:rPr>
              <w:t>《电力监管条例》</w:t>
            </w:r>
            <w:r>
              <w:rPr>
                <w:rFonts w:hint="default" w:ascii="宋体" w:hAnsi="宋体" w:eastAsia="宋体" w:cs="宋体"/>
                <w:sz w:val="24"/>
                <w:szCs w:val="24"/>
                <w:lang w:eastAsia="zh-CN"/>
              </w:rPr>
              <w:t>《关于建立健全可再生能源电力消纳保障机制的通知》（发改能源〔2019〕807号）《</w:t>
            </w:r>
            <w:r>
              <w:rPr>
                <w:rFonts w:hint="default" w:ascii="宋体" w:hAnsi="宋体" w:eastAsia="宋体" w:cs="宋体"/>
                <w:sz w:val="24"/>
                <w:szCs w:val="24"/>
              </w:rPr>
              <w:t>电力中长期交易基本规则》（发改能源规〔2020〕889号）《关于全面提升“获得电力”服务水平 持续优化用电营商环境的意见》（发改能源规〔2020〕1479号）</w:t>
            </w:r>
            <w:r>
              <w:rPr>
                <w:rFonts w:hint="default" w:ascii="宋体" w:hAnsi="宋体" w:eastAsia="宋体" w:cs="宋体"/>
                <w:sz w:val="24"/>
                <w:szCs w:val="24"/>
                <w:lang w:eastAsia="zh-CN"/>
              </w:rPr>
              <w:t>《关于组织开展电网企业代理购电工作有关事项的通知》（发改办价格〔2021〕809号）等。</w:t>
            </w:r>
          </w:p>
        </w:tc>
        <w:tc>
          <w:tcPr>
            <w:tcW w:w="3053" w:type="dxa"/>
            <w:noWrap w:val="0"/>
            <w:vAlign w:val="center"/>
          </w:tcPr>
          <w:p>
            <w:pPr>
              <w:spacing w:line="40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电力规划及相关产业政策落实情况；“获得电力”服务水平提升情况；电力调度交易与市场秩序情况；电力价格政策执行情况；可再生能源电力消纳保障机制落实情况等。</w:t>
            </w:r>
          </w:p>
        </w:tc>
        <w:tc>
          <w:tcPr>
            <w:tcW w:w="1276" w:type="dxa"/>
            <w:noWrap w:val="0"/>
            <w:vAlign w:val="center"/>
          </w:tcPr>
          <w:p>
            <w:pPr>
              <w:spacing w:line="40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全国选取2-4个重点省份</w:t>
            </w:r>
          </w:p>
        </w:tc>
        <w:tc>
          <w:tcPr>
            <w:tcW w:w="1721" w:type="dxa"/>
            <w:noWrap w:val="0"/>
            <w:vAlign w:val="center"/>
          </w:tcPr>
          <w:p>
            <w:pPr>
              <w:spacing w:line="400" w:lineRule="exact"/>
              <w:jc w:val="center"/>
              <w:rPr>
                <w:rFonts w:hint="default" w:ascii="宋体" w:hAnsi="宋体" w:eastAsia="宋体" w:cs="宋体"/>
                <w:sz w:val="24"/>
                <w:szCs w:val="24"/>
                <w:lang w:val="en-US" w:eastAsia="zh-CN"/>
              </w:rPr>
            </w:pPr>
            <w:r>
              <w:rPr>
                <w:rFonts w:hint="default" w:ascii="宋体" w:hAnsi="宋体" w:eastAsia="宋体" w:cs="宋体"/>
                <w:sz w:val="24"/>
                <w:szCs w:val="24"/>
              </w:rPr>
              <w:t>电网企业、</w:t>
            </w:r>
            <w:r>
              <w:rPr>
                <w:rFonts w:hint="default" w:ascii="宋体" w:hAnsi="宋体" w:eastAsia="宋体" w:cs="宋体"/>
                <w:sz w:val="24"/>
                <w:szCs w:val="24"/>
                <w:lang w:eastAsia="zh-CN"/>
              </w:rPr>
              <w:t>供电企业、发电企业、电力调度交易机构、</w:t>
            </w:r>
            <w:r>
              <w:rPr>
                <w:rFonts w:hint="default" w:ascii="宋体" w:hAnsi="宋体" w:eastAsia="宋体" w:cs="宋体"/>
                <w:sz w:val="24"/>
                <w:szCs w:val="24"/>
              </w:rPr>
              <w:t>地方政府</w:t>
            </w:r>
            <w:r>
              <w:rPr>
                <w:rFonts w:hint="default" w:ascii="宋体" w:hAnsi="宋体" w:eastAsia="宋体" w:cs="宋体"/>
                <w:sz w:val="24"/>
                <w:szCs w:val="24"/>
                <w:lang w:eastAsia="zh-CN"/>
              </w:rPr>
              <w:t>有关</w:t>
            </w:r>
            <w:r>
              <w:rPr>
                <w:rFonts w:hint="default" w:ascii="宋体" w:hAnsi="宋体" w:eastAsia="宋体" w:cs="宋体"/>
                <w:sz w:val="24"/>
                <w:szCs w:val="24"/>
              </w:rPr>
              <w:t>部门</w:t>
            </w:r>
          </w:p>
        </w:tc>
        <w:tc>
          <w:tcPr>
            <w:tcW w:w="1392" w:type="dxa"/>
            <w:noWrap w:val="0"/>
            <w:vAlign w:val="center"/>
          </w:tcPr>
          <w:p>
            <w:pPr>
              <w:spacing w:line="400" w:lineRule="exact"/>
              <w:jc w:val="center"/>
              <w:rPr>
                <w:rFonts w:hint="default" w:ascii="宋体" w:hAnsi="宋体" w:eastAsia="宋体" w:cs="宋体"/>
                <w:sz w:val="24"/>
                <w:szCs w:val="24"/>
                <w:lang w:val="en-US" w:eastAsia="zh-CN"/>
              </w:rPr>
            </w:pPr>
            <w:r>
              <w:rPr>
                <w:rFonts w:hint="default" w:ascii="宋体" w:hAnsi="宋体" w:eastAsia="宋体" w:cs="宋体"/>
                <w:sz w:val="24"/>
                <w:szCs w:val="24"/>
              </w:rPr>
              <w:t>202</w:t>
            </w:r>
            <w:r>
              <w:rPr>
                <w:rFonts w:hint="default" w:ascii="宋体" w:hAnsi="宋体" w:eastAsia="宋体" w:cs="宋体"/>
                <w:sz w:val="24"/>
                <w:szCs w:val="24"/>
                <w:lang w:val="en-US" w:eastAsia="zh-CN"/>
              </w:rPr>
              <w:t>2</w:t>
            </w:r>
            <w:r>
              <w:rPr>
                <w:rFonts w:hint="default" w:ascii="宋体" w:hAnsi="宋体" w:eastAsia="宋体" w:cs="宋体"/>
                <w:sz w:val="24"/>
                <w:szCs w:val="24"/>
              </w:rPr>
              <w:t>年4月启动，</w:t>
            </w:r>
            <w:r>
              <w:rPr>
                <w:rFonts w:hint="default" w:ascii="宋体" w:hAnsi="宋体" w:eastAsia="宋体" w:cs="宋体"/>
                <w:sz w:val="24"/>
                <w:szCs w:val="24"/>
                <w:lang w:eastAsia="zh-CN"/>
              </w:rPr>
              <w:t>每个省集中</w:t>
            </w:r>
            <w:r>
              <w:rPr>
                <w:rFonts w:hint="default" w:ascii="宋体" w:hAnsi="宋体" w:eastAsia="宋体" w:cs="宋体"/>
                <w:sz w:val="24"/>
                <w:szCs w:val="24"/>
                <w:lang w:val="en-US" w:eastAsia="zh-CN"/>
              </w:rPr>
              <w:t>2个月时间全面开展现场监管，</w:t>
            </w:r>
            <w:r>
              <w:rPr>
                <w:rFonts w:hint="default" w:ascii="宋体" w:hAnsi="宋体" w:eastAsia="宋体" w:cs="宋体"/>
                <w:sz w:val="24"/>
                <w:szCs w:val="24"/>
              </w:rPr>
              <w:t>1</w:t>
            </w:r>
            <w:r>
              <w:rPr>
                <w:rFonts w:hint="default" w:ascii="宋体" w:hAnsi="宋体" w:eastAsia="宋体" w:cs="宋体"/>
                <w:sz w:val="24"/>
                <w:szCs w:val="24"/>
                <w:lang w:val="en-US" w:eastAsia="zh-CN"/>
              </w:rPr>
              <w:t>0</w:t>
            </w:r>
            <w:r>
              <w:rPr>
                <w:rFonts w:hint="default" w:ascii="宋体" w:hAnsi="宋体" w:eastAsia="宋体" w:cs="宋体"/>
                <w:sz w:val="24"/>
                <w:szCs w:val="24"/>
              </w:rPr>
              <w:t>月形成监管报告。</w:t>
            </w:r>
          </w:p>
        </w:tc>
        <w:tc>
          <w:tcPr>
            <w:tcW w:w="1698" w:type="dxa"/>
            <w:noWrap w:val="0"/>
            <w:vAlign w:val="center"/>
          </w:tcPr>
          <w:p>
            <w:pPr>
              <w:spacing w:line="400" w:lineRule="exact"/>
              <w:jc w:val="center"/>
              <w:rPr>
                <w:rFonts w:hint="default" w:ascii="宋体" w:hAnsi="宋体" w:eastAsia="宋体" w:cs="宋体"/>
                <w:sz w:val="24"/>
                <w:szCs w:val="24"/>
                <w:lang w:val="en-US" w:eastAsia="zh-CN"/>
              </w:rPr>
            </w:pPr>
            <w:r>
              <w:rPr>
                <w:rFonts w:hint="default" w:ascii="宋体" w:hAnsi="宋体" w:eastAsia="宋体" w:cs="宋体"/>
                <w:sz w:val="24"/>
                <w:szCs w:val="24"/>
              </w:rPr>
              <w:t>监管司牵头，</w:t>
            </w:r>
            <w:r>
              <w:rPr>
                <w:rFonts w:hint="default" w:ascii="宋体" w:hAnsi="宋体" w:eastAsia="宋体" w:cs="宋体"/>
                <w:sz w:val="24"/>
                <w:szCs w:val="24"/>
                <w:lang w:eastAsia="zh-CN"/>
              </w:rPr>
              <w:t>法改司、电力司、新能源司，相关</w:t>
            </w:r>
            <w:r>
              <w:rPr>
                <w:rFonts w:hint="default" w:ascii="宋体" w:hAnsi="宋体" w:eastAsia="宋体" w:cs="宋体"/>
                <w:sz w:val="24"/>
                <w:szCs w:val="24"/>
              </w:rPr>
              <w:t>派出机构</w:t>
            </w:r>
            <w:r>
              <w:rPr>
                <w:rFonts w:hint="default" w:ascii="宋体" w:hAnsi="宋体" w:eastAsia="宋体" w:cs="宋体"/>
                <w:sz w:val="24"/>
                <w:szCs w:val="24"/>
                <w:lang w:eastAsia="zh-CN"/>
              </w:rPr>
              <w:t>参与。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3" w:hRule="atLeast"/>
          <w:jc w:val="center"/>
        </w:trPr>
        <w:tc>
          <w:tcPr>
            <w:tcW w:w="14422" w:type="dxa"/>
            <w:gridSpan w:val="8"/>
            <w:noWrap w:val="0"/>
            <w:vAlign w:val="center"/>
          </w:tcPr>
          <w:p>
            <w:pPr>
              <w:spacing w:line="360" w:lineRule="exact"/>
              <w:jc w:val="center"/>
              <w:rPr>
                <w:rFonts w:hint="default" w:ascii="Times New Roman" w:hAnsi="Times New Roman" w:eastAsia="仿宋_GB2312" w:cs="Times New Roman"/>
                <w:b/>
                <w:bCs/>
                <w:sz w:val="24"/>
                <w:szCs w:val="24"/>
                <w:lang w:eastAsia="zh-CN"/>
              </w:rPr>
            </w:pPr>
            <w:r>
              <w:rPr>
                <w:rFonts w:hint="default" w:ascii="宋体" w:hAnsi="宋体" w:eastAsia="宋体" w:cs="宋体"/>
                <w:sz w:val="24"/>
                <w:szCs w:val="24"/>
                <w:lang w:val="en-US" w:eastAsia="zh-CN"/>
              </w:rPr>
              <w:t>二、专项监管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8" w:hRule="atLeast"/>
          <w:jc w:val="center"/>
        </w:trPr>
        <w:tc>
          <w:tcPr>
            <w:tcW w:w="562"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w:t>
            </w:r>
          </w:p>
        </w:tc>
        <w:tc>
          <w:tcPr>
            <w:tcW w:w="1331"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国家“十四五”能源规划重点任务年度落实情况专项监管</w:t>
            </w:r>
          </w:p>
        </w:tc>
        <w:tc>
          <w:tcPr>
            <w:tcW w:w="3389"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《能源规划管理办法》（国能发规划〔2019〕87号）《能源规划工作实施细则》（国能发规划〔2019〕88号）以及“十四五”现代能源体系规划等。</w:t>
            </w:r>
          </w:p>
        </w:tc>
        <w:tc>
          <w:tcPr>
            <w:tcW w:w="3053"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2022年各省（区、市）组织实施国家“十四五”能源规划重点任务情况。</w:t>
            </w:r>
          </w:p>
        </w:tc>
        <w:tc>
          <w:tcPr>
            <w:tcW w:w="1276"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全国</w:t>
            </w:r>
          </w:p>
        </w:tc>
        <w:tc>
          <w:tcPr>
            <w:tcW w:w="1721"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省级能源主管部门、重点能源企业</w:t>
            </w:r>
          </w:p>
        </w:tc>
        <w:tc>
          <w:tcPr>
            <w:tcW w:w="1392"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2022年4月启动，2023年2月形成监管报告。</w:t>
            </w:r>
          </w:p>
        </w:tc>
        <w:tc>
          <w:tcPr>
            <w:tcW w:w="1698"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规划司牵头，相关司，各派出机构参与。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2" w:hRule="atLeast"/>
          <w:jc w:val="center"/>
        </w:trPr>
        <w:tc>
          <w:tcPr>
            <w:tcW w:w="562"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3</w:t>
            </w:r>
          </w:p>
        </w:tc>
        <w:tc>
          <w:tcPr>
            <w:tcW w:w="1331"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乙醇汽油推广专项监管</w:t>
            </w:r>
          </w:p>
        </w:tc>
        <w:tc>
          <w:tcPr>
            <w:tcW w:w="3389"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《可再生能源法》《关于扩大生物燃料乙醇生产和推广使用乙醇汽油的实施方案》《全国生物燃料乙醇产业总体布局方案》及其他相关法律法规及政策。</w:t>
            </w:r>
          </w:p>
        </w:tc>
        <w:tc>
          <w:tcPr>
            <w:tcW w:w="3053"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上一年度监管问题整改情况；燃料乙醇项目建设情况；燃料乙醇企业生产经营情况；石油销售企业乙醇汽油经营情况；地方乙醇汽油推广落实情况等。</w:t>
            </w:r>
          </w:p>
        </w:tc>
        <w:tc>
          <w:tcPr>
            <w:tcW w:w="1276"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乙醇汽油推广区域</w:t>
            </w:r>
          </w:p>
        </w:tc>
        <w:tc>
          <w:tcPr>
            <w:tcW w:w="1721"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乙醇汽油推广区域、生物燃料乙醇企业、石油销售企业</w:t>
            </w:r>
          </w:p>
        </w:tc>
        <w:tc>
          <w:tcPr>
            <w:tcW w:w="1392"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2022年4月启动，10月形成监管报告。</w:t>
            </w:r>
          </w:p>
        </w:tc>
        <w:tc>
          <w:tcPr>
            <w:tcW w:w="1698"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科技司牵头，监管司，相关派出机构参与。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23" w:hRule="atLeast"/>
          <w:jc w:val="center"/>
        </w:trPr>
        <w:tc>
          <w:tcPr>
            <w:tcW w:w="562"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4</w:t>
            </w:r>
          </w:p>
        </w:tc>
        <w:tc>
          <w:tcPr>
            <w:tcW w:w="1331"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重点煤电气电规划建设专项监管</w:t>
            </w:r>
          </w:p>
        </w:tc>
        <w:tc>
          <w:tcPr>
            <w:tcW w:w="3389"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习近平总书记等中央领导同志关于能源电力保供批示指示精神以及电力发展相关规划和产业政策等。</w:t>
            </w:r>
          </w:p>
        </w:tc>
        <w:tc>
          <w:tcPr>
            <w:tcW w:w="3053"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外送输电通道配套电源和重点支撑性煤电项目建设进度情况。</w:t>
            </w:r>
          </w:p>
        </w:tc>
        <w:tc>
          <w:tcPr>
            <w:tcW w:w="1276"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全国</w:t>
            </w:r>
          </w:p>
        </w:tc>
        <w:tc>
          <w:tcPr>
            <w:tcW w:w="1721"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地方政府主管部门、相关企业</w:t>
            </w:r>
          </w:p>
        </w:tc>
        <w:tc>
          <w:tcPr>
            <w:tcW w:w="1392"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2022年3月启动，10月形成监管报告。</w:t>
            </w:r>
          </w:p>
        </w:tc>
        <w:tc>
          <w:tcPr>
            <w:tcW w:w="1698"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电力司牵头，各派出机构参与。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8" w:hRule="atLeast"/>
          <w:jc w:val="center"/>
        </w:trPr>
        <w:tc>
          <w:tcPr>
            <w:tcW w:w="562"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5</w:t>
            </w:r>
          </w:p>
        </w:tc>
        <w:tc>
          <w:tcPr>
            <w:tcW w:w="1331"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北方地区清洁取暖专项监管</w:t>
            </w:r>
          </w:p>
        </w:tc>
        <w:tc>
          <w:tcPr>
            <w:tcW w:w="3389"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习近平总书记等中央领导同志关于北方地区清洁取暖批示指示精神以及北方地区冬季清洁取暖相关规划政策等。</w:t>
            </w:r>
          </w:p>
        </w:tc>
        <w:tc>
          <w:tcPr>
            <w:tcW w:w="3053"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北方地区冬季清洁取暖实施、运行情况。</w:t>
            </w:r>
          </w:p>
        </w:tc>
        <w:tc>
          <w:tcPr>
            <w:tcW w:w="1276"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北京、天津、河北、山西等14个省（区、市）及河南部分地区</w:t>
            </w:r>
          </w:p>
        </w:tc>
        <w:tc>
          <w:tcPr>
            <w:tcW w:w="1721"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地方政府主管部门、有关企业</w:t>
            </w:r>
          </w:p>
        </w:tc>
        <w:tc>
          <w:tcPr>
            <w:tcW w:w="1392"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2022年10</w:t>
            </w:r>
            <w:r>
              <w:rPr>
                <w:rFonts w:hint="eastAsia" w:ascii="宋体" w:hAnsi="宋体" w:eastAsia="宋体" w:cs="宋体"/>
                <w:sz w:val="24"/>
                <w:szCs w:val="24"/>
                <w:lang w:val="en-US" w:eastAsia="zh-CN"/>
              </w:rPr>
              <w:t>月</w:t>
            </w:r>
            <w:r>
              <w:rPr>
                <w:rFonts w:hint="default" w:ascii="宋体" w:hAnsi="宋体" w:eastAsia="宋体" w:cs="宋体"/>
                <w:sz w:val="24"/>
                <w:szCs w:val="24"/>
                <w:lang w:val="en-US" w:eastAsia="zh-CN"/>
              </w:rPr>
              <w:t>启动，2023年5月形成监管报告。</w:t>
            </w:r>
          </w:p>
        </w:tc>
        <w:tc>
          <w:tcPr>
            <w:tcW w:w="1698"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电力司牵头，相关司，华北、东北、西北监管局，山西、山东、甘肃、新疆、河南监管办参与。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7" w:hRule="atLeast"/>
          <w:jc w:val="center"/>
        </w:trPr>
        <w:tc>
          <w:tcPr>
            <w:tcW w:w="562"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6</w:t>
            </w:r>
          </w:p>
        </w:tc>
        <w:tc>
          <w:tcPr>
            <w:tcW w:w="1331"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煤层气（煤矿瓦斯）开发利用重点任务推进情况专项监管</w:t>
            </w:r>
          </w:p>
        </w:tc>
        <w:tc>
          <w:tcPr>
            <w:tcW w:w="3389"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“十四五”煤炭、煤层气规划及相关产业政策等。</w:t>
            </w:r>
          </w:p>
        </w:tc>
        <w:tc>
          <w:tcPr>
            <w:tcW w:w="3053"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煤层气勘探开发情况；煤矿瓦斯综合治理重点任务推进情况等。</w:t>
            </w:r>
          </w:p>
        </w:tc>
        <w:tc>
          <w:tcPr>
            <w:tcW w:w="1276"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山西、陕西、新疆、内蒙古等13个省（区）</w:t>
            </w:r>
          </w:p>
        </w:tc>
        <w:tc>
          <w:tcPr>
            <w:tcW w:w="1721"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地方主管部门、重点企业</w:t>
            </w:r>
          </w:p>
        </w:tc>
        <w:tc>
          <w:tcPr>
            <w:tcW w:w="1392"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2022年4月启动，10月形成监管报告。</w:t>
            </w:r>
          </w:p>
        </w:tc>
        <w:tc>
          <w:tcPr>
            <w:tcW w:w="1698"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煤炭司牵头，相关派出机构参与。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8" w:hRule="atLeast"/>
          <w:jc w:val="center"/>
        </w:trPr>
        <w:tc>
          <w:tcPr>
            <w:tcW w:w="562"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7</w:t>
            </w:r>
          </w:p>
        </w:tc>
        <w:tc>
          <w:tcPr>
            <w:tcW w:w="1331"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天然气发电合同履约保障专项监管</w:t>
            </w:r>
          </w:p>
        </w:tc>
        <w:tc>
          <w:tcPr>
            <w:tcW w:w="3389"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《天然气基础设施建设与运营管理办法》（发展改革委令第8号）《油气管网设施公平开放监管办法》（发改能源规〔2019〕916号）以及天然气相关产业政策等。</w:t>
            </w:r>
          </w:p>
        </w:tc>
        <w:tc>
          <w:tcPr>
            <w:tcW w:w="3053"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天然气发电项目进展情况；气源合同签订落实情况；电厂运行情况；“气电协同”机制落实情况；天然气与可再生能源融合发展项目推进情况等。</w:t>
            </w:r>
          </w:p>
        </w:tc>
        <w:tc>
          <w:tcPr>
            <w:tcW w:w="1276"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广东、江苏、浙江、青海</w:t>
            </w:r>
          </w:p>
        </w:tc>
        <w:tc>
          <w:tcPr>
            <w:tcW w:w="1721"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天然气发电厂供用气双方、地方政府相关部门</w:t>
            </w:r>
          </w:p>
        </w:tc>
        <w:tc>
          <w:tcPr>
            <w:tcW w:w="1392"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2022年4月启动，10月形成监管报告。</w:t>
            </w:r>
          </w:p>
        </w:tc>
        <w:tc>
          <w:tcPr>
            <w:tcW w:w="1698"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油气司牵头，电力司、监管司、新能源司，西北、南方监管局，江苏、浙江监管办参与。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jc w:val="center"/>
        </w:trPr>
        <w:tc>
          <w:tcPr>
            <w:tcW w:w="562"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8</w:t>
            </w:r>
          </w:p>
        </w:tc>
        <w:tc>
          <w:tcPr>
            <w:tcW w:w="1331"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第一批以沙漠、戈壁、荒漠地区为重点的大型风电光伏基地建设情况</w:t>
            </w:r>
            <w:r>
              <w:rPr>
                <w:rFonts w:hint="eastAsia" w:ascii="宋体" w:hAnsi="宋体" w:eastAsia="宋体" w:cs="宋体"/>
                <w:sz w:val="24"/>
                <w:szCs w:val="24"/>
                <w:lang w:val="en-US" w:eastAsia="zh-CN"/>
              </w:rPr>
              <w:t>专项</w:t>
            </w:r>
            <w:r>
              <w:rPr>
                <w:rFonts w:hint="default" w:ascii="宋体" w:hAnsi="宋体" w:eastAsia="宋体" w:cs="宋体"/>
                <w:sz w:val="24"/>
                <w:szCs w:val="24"/>
                <w:lang w:val="en-US" w:eastAsia="zh-CN"/>
              </w:rPr>
              <w:t>监管</w:t>
            </w:r>
          </w:p>
        </w:tc>
        <w:tc>
          <w:tcPr>
            <w:tcW w:w="3389"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《国家发展改革委办公厅 国家能源局综合司关于印发第一批以沙漠、戈壁、荒漠地区为重点的大型风电光伏基地建设项目清单的通知》（发改办能源〔2021〕926号）等。</w:t>
            </w:r>
          </w:p>
        </w:tc>
        <w:tc>
          <w:tcPr>
            <w:tcW w:w="3053"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基地风电光伏项目、配套调峰措施、送出工程的建设情况。</w:t>
            </w:r>
          </w:p>
        </w:tc>
        <w:tc>
          <w:tcPr>
            <w:tcW w:w="1276"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基地项目所在省份</w:t>
            </w:r>
          </w:p>
        </w:tc>
        <w:tc>
          <w:tcPr>
            <w:tcW w:w="1721"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承担第一批以沙漠、戈壁、荒漠地区为重点的大型风电光伏基地的开发企业、电网企业、有关部门</w:t>
            </w:r>
          </w:p>
        </w:tc>
        <w:tc>
          <w:tcPr>
            <w:tcW w:w="1392"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2022年6月启动，12月形成监管报告</w:t>
            </w:r>
            <w:r>
              <w:rPr>
                <w:rFonts w:hint="eastAsia" w:ascii="宋体" w:hAnsi="宋体" w:eastAsia="宋体" w:cs="宋体"/>
                <w:sz w:val="24"/>
                <w:szCs w:val="24"/>
                <w:lang w:val="en-US" w:eastAsia="zh-CN"/>
              </w:rPr>
              <w:t>。</w:t>
            </w:r>
          </w:p>
        </w:tc>
        <w:tc>
          <w:tcPr>
            <w:tcW w:w="1698"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新能源司牵头，科技司、电力司、监管司，有关派出机构参与。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5" w:hRule="atLeast"/>
          <w:jc w:val="center"/>
        </w:trPr>
        <w:tc>
          <w:tcPr>
            <w:tcW w:w="562"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9</w:t>
            </w:r>
          </w:p>
        </w:tc>
        <w:tc>
          <w:tcPr>
            <w:tcW w:w="1331"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新能源安全专项监管</w:t>
            </w:r>
          </w:p>
        </w:tc>
        <w:tc>
          <w:tcPr>
            <w:tcW w:w="3389"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《安全生产法》《电力安全生产专项整治三年行动方案》《防止电力生产事故的二十五项重点要求》等。</w:t>
            </w:r>
          </w:p>
        </w:tc>
        <w:tc>
          <w:tcPr>
            <w:tcW w:w="3053" w:type="dxa"/>
            <w:noWrap w:val="0"/>
            <w:vAlign w:val="top"/>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结合风电、光伏发电安全事故分析，开展新能源发电项目安全监管，做好政策储备，超前防范新能源快速发展带来的安全风险，深入排查隐患，保证行业健康可持续发展。</w:t>
            </w:r>
          </w:p>
        </w:tc>
        <w:tc>
          <w:tcPr>
            <w:tcW w:w="1276"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全国</w:t>
            </w:r>
          </w:p>
        </w:tc>
        <w:tc>
          <w:tcPr>
            <w:tcW w:w="1721"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新能源发电企业</w:t>
            </w:r>
          </w:p>
        </w:tc>
        <w:tc>
          <w:tcPr>
            <w:tcW w:w="1392"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2022年3月启动，12月形成监管报告。</w:t>
            </w:r>
          </w:p>
        </w:tc>
        <w:tc>
          <w:tcPr>
            <w:tcW w:w="1698"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安全司牵头，</w:t>
            </w:r>
          </w:p>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全国电力安委会相关成员单位参与。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10" w:hRule="atLeast"/>
          <w:jc w:val="center"/>
        </w:trPr>
        <w:tc>
          <w:tcPr>
            <w:tcW w:w="562"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10</w:t>
            </w:r>
          </w:p>
        </w:tc>
        <w:tc>
          <w:tcPr>
            <w:tcW w:w="1331"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班组安全建设专项监管</w:t>
            </w:r>
          </w:p>
        </w:tc>
        <w:tc>
          <w:tcPr>
            <w:tcW w:w="3389"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《安全生产法》《电力行业班组安全建设现场核查参考清单》等。</w:t>
            </w:r>
          </w:p>
        </w:tc>
        <w:tc>
          <w:tcPr>
            <w:tcW w:w="3053"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制定《关于加强电力企业班组安全建设的指导意见》，聚焦反“三违”开展班组安全专项监管，发挥先进班组典型示范作用，提高生产现场安全管理水平。</w:t>
            </w:r>
          </w:p>
        </w:tc>
        <w:tc>
          <w:tcPr>
            <w:tcW w:w="1276"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全国</w:t>
            </w:r>
          </w:p>
        </w:tc>
        <w:tc>
          <w:tcPr>
            <w:tcW w:w="1721"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电力企业</w:t>
            </w:r>
          </w:p>
        </w:tc>
        <w:tc>
          <w:tcPr>
            <w:tcW w:w="1392"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2022年3月启动，12月形成监管报告。</w:t>
            </w:r>
          </w:p>
        </w:tc>
        <w:tc>
          <w:tcPr>
            <w:tcW w:w="1698"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安全司牵头，</w:t>
            </w:r>
          </w:p>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全国电力安委会相关成员单位参与。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75" w:hRule="atLeast"/>
          <w:jc w:val="center"/>
        </w:trPr>
        <w:tc>
          <w:tcPr>
            <w:tcW w:w="562"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11</w:t>
            </w:r>
          </w:p>
        </w:tc>
        <w:tc>
          <w:tcPr>
            <w:tcW w:w="1331"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电力业务资质许可信用专项监管</w:t>
            </w:r>
          </w:p>
        </w:tc>
        <w:tc>
          <w:tcPr>
            <w:tcW w:w="3389"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《电力业务许可证管理规定》《承装（修、试）电力设施许可证管理办法》《国家能源局关于实施电力业务许可信用监管的通知》（国能发资质〔2019〕79号）。</w:t>
            </w:r>
          </w:p>
        </w:tc>
        <w:tc>
          <w:tcPr>
            <w:tcW w:w="3053"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部分可再生能源项目电力业务许可制度执行情况；部分在建电网工程、用户受电工程及可再生能源项目涉网工程承装（修、试）电力设施许可制度执行情况。</w:t>
            </w:r>
          </w:p>
        </w:tc>
        <w:tc>
          <w:tcPr>
            <w:tcW w:w="1276"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陕西、湖北、湖南、新疆、浙江、福建、四川、贵州</w:t>
            </w:r>
          </w:p>
        </w:tc>
        <w:tc>
          <w:tcPr>
            <w:tcW w:w="1721"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可再生能源发电企业及相关电网企业；有关承装（修、试）电力设施企业</w:t>
            </w:r>
          </w:p>
        </w:tc>
        <w:tc>
          <w:tcPr>
            <w:tcW w:w="1392"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2022年4月启动，11月形成监管报告。</w:t>
            </w:r>
          </w:p>
        </w:tc>
        <w:tc>
          <w:tcPr>
            <w:tcW w:w="1698"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资质中心牵头，华中、西北监管局，新疆、浙江、福建、湖南、四川、贵州监管办参与。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5" w:hRule="atLeast"/>
          <w:jc w:val="center"/>
        </w:trPr>
        <w:tc>
          <w:tcPr>
            <w:tcW w:w="14422" w:type="dxa"/>
            <w:gridSpan w:val="8"/>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三、重点监管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2" w:hRule="atLeast"/>
          <w:jc w:val="center"/>
        </w:trPr>
        <w:tc>
          <w:tcPr>
            <w:tcW w:w="562"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12</w:t>
            </w:r>
          </w:p>
        </w:tc>
        <w:tc>
          <w:tcPr>
            <w:tcW w:w="1331"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裕龙岛炼化一体化项目重点监管</w:t>
            </w:r>
          </w:p>
        </w:tc>
        <w:tc>
          <w:tcPr>
            <w:tcW w:w="3389"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《国家发展改革委公告2018年第16号》等。</w:t>
            </w:r>
          </w:p>
        </w:tc>
        <w:tc>
          <w:tcPr>
            <w:tcW w:w="3053"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落后产能淘汰情况；裕龙岛炼化一体化项目建设情况。</w:t>
            </w:r>
          </w:p>
        </w:tc>
        <w:tc>
          <w:tcPr>
            <w:tcW w:w="1276"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山东</w:t>
            </w:r>
          </w:p>
        </w:tc>
        <w:tc>
          <w:tcPr>
            <w:tcW w:w="1721"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地方有关部门、相关企业</w:t>
            </w:r>
          </w:p>
        </w:tc>
        <w:tc>
          <w:tcPr>
            <w:tcW w:w="1392"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2022年5月启动，10月形成监管报告。</w:t>
            </w:r>
          </w:p>
        </w:tc>
        <w:tc>
          <w:tcPr>
            <w:tcW w:w="1698"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在科技司指导下，山东监管办负责。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8" w:hRule="atLeast"/>
          <w:jc w:val="center"/>
        </w:trPr>
        <w:tc>
          <w:tcPr>
            <w:tcW w:w="562"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13</w:t>
            </w:r>
          </w:p>
        </w:tc>
        <w:tc>
          <w:tcPr>
            <w:tcW w:w="1331"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火电机组出力受阻及非停情况重点监管</w:t>
            </w:r>
          </w:p>
        </w:tc>
        <w:tc>
          <w:tcPr>
            <w:tcW w:w="3389"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习近平总书记等中央领导同志关于能源电力保供批示指示精神以及电力发展相关规划和产业政策等。</w:t>
            </w:r>
          </w:p>
        </w:tc>
        <w:tc>
          <w:tcPr>
            <w:tcW w:w="3053"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火电机组出力受阻、非计划停运情况，以及对省级电网电力供应保障能力的影响，特别对迎峰度夏（冬）期间开展重点监管。</w:t>
            </w:r>
          </w:p>
        </w:tc>
        <w:tc>
          <w:tcPr>
            <w:tcW w:w="1276"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辽宁</w:t>
            </w:r>
          </w:p>
        </w:tc>
        <w:tc>
          <w:tcPr>
            <w:tcW w:w="1721"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相关电力企业</w:t>
            </w:r>
          </w:p>
        </w:tc>
        <w:tc>
          <w:tcPr>
            <w:tcW w:w="1392"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2022年4月启动，12月形成监管报告。</w:t>
            </w:r>
          </w:p>
        </w:tc>
        <w:tc>
          <w:tcPr>
            <w:tcW w:w="1698"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在电力司指导下，东北监管局负责。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562"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14</w:t>
            </w:r>
          </w:p>
        </w:tc>
        <w:tc>
          <w:tcPr>
            <w:tcW w:w="1331"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火电机组顶峰能力情况重点监管</w:t>
            </w:r>
          </w:p>
        </w:tc>
        <w:tc>
          <w:tcPr>
            <w:tcW w:w="3389"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《电力监管条例》《关于加强和改进发电运行调节管理的指导意见》（发改运行〔2014〕985号）《关于开展全国煤电机组改造升级的通知》（发改运行〔2021〕1519号）等。</w:t>
            </w:r>
          </w:p>
        </w:tc>
        <w:tc>
          <w:tcPr>
            <w:tcW w:w="3053"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火电机组参与调峰辅助服务情况；火电机组灵活性改造情况；火电机组可发电力情况；火电机组提供顶峰情况。</w:t>
            </w:r>
          </w:p>
        </w:tc>
        <w:tc>
          <w:tcPr>
            <w:tcW w:w="1276"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贵州</w:t>
            </w:r>
          </w:p>
        </w:tc>
        <w:tc>
          <w:tcPr>
            <w:tcW w:w="1721"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相关电力企业</w:t>
            </w:r>
          </w:p>
        </w:tc>
        <w:tc>
          <w:tcPr>
            <w:tcW w:w="1392"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2022年6月启动，10月形成监管报告。</w:t>
            </w:r>
          </w:p>
        </w:tc>
        <w:tc>
          <w:tcPr>
            <w:tcW w:w="1698"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在电力司指导下，贵州监管办负责。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8" w:hRule="atLeast"/>
          <w:jc w:val="center"/>
        </w:trPr>
        <w:tc>
          <w:tcPr>
            <w:tcW w:w="562"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15</w:t>
            </w:r>
          </w:p>
        </w:tc>
        <w:tc>
          <w:tcPr>
            <w:tcW w:w="1331"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燃煤发电上网电价市场化情况重点监管</w:t>
            </w:r>
          </w:p>
        </w:tc>
        <w:tc>
          <w:tcPr>
            <w:tcW w:w="3389"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《关于进一步深化燃煤发电上网电价市场化改革的通知》（发改价格〔2021〕1439号）等。</w:t>
            </w:r>
          </w:p>
        </w:tc>
        <w:tc>
          <w:tcPr>
            <w:tcW w:w="3053"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燃煤发电上网电价调整、市场准入、交易执行、行政干预等情况。</w:t>
            </w:r>
          </w:p>
        </w:tc>
        <w:tc>
          <w:tcPr>
            <w:tcW w:w="1276"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天津、内蒙古</w:t>
            </w:r>
          </w:p>
        </w:tc>
        <w:tc>
          <w:tcPr>
            <w:tcW w:w="1721"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相关电力企业、地方政府</w:t>
            </w:r>
          </w:p>
        </w:tc>
        <w:tc>
          <w:tcPr>
            <w:tcW w:w="1392"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2022年4月启动，10月形成监管报告。</w:t>
            </w:r>
          </w:p>
        </w:tc>
        <w:tc>
          <w:tcPr>
            <w:tcW w:w="1698"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在电力司指导下，华北监管局负责。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2" w:hRule="atLeast"/>
          <w:jc w:val="center"/>
        </w:trPr>
        <w:tc>
          <w:tcPr>
            <w:tcW w:w="562"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16</w:t>
            </w:r>
          </w:p>
        </w:tc>
        <w:tc>
          <w:tcPr>
            <w:tcW w:w="1331"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12398热线投诉举报突出问题重点监管</w:t>
            </w:r>
          </w:p>
        </w:tc>
        <w:tc>
          <w:tcPr>
            <w:tcW w:w="3389"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《关于全面提升“获得电力”服务水平 持续优化用电营商环境的意见》（发改能源规〔2020〕1479号）等相关规定。</w:t>
            </w:r>
          </w:p>
        </w:tc>
        <w:tc>
          <w:tcPr>
            <w:tcW w:w="3053"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企业和群众反映集中的问题，特别是接入受限、违规加价收费、“三指定”等突出问题。</w:t>
            </w:r>
          </w:p>
        </w:tc>
        <w:tc>
          <w:tcPr>
            <w:tcW w:w="1276"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湖北、江西、重庆、西藏</w:t>
            </w:r>
          </w:p>
        </w:tc>
        <w:tc>
          <w:tcPr>
            <w:tcW w:w="1721"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有关电力企业</w:t>
            </w:r>
          </w:p>
        </w:tc>
        <w:tc>
          <w:tcPr>
            <w:tcW w:w="1392"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2022年4月启动，11月形成监管报告。</w:t>
            </w:r>
          </w:p>
        </w:tc>
        <w:tc>
          <w:tcPr>
            <w:tcW w:w="1698" w:type="dxa"/>
            <w:noWrap w:val="0"/>
            <w:vAlign w:val="center"/>
          </w:tcPr>
          <w:p>
            <w:pPr>
              <w:spacing w:line="360" w:lineRule="exact"/>
              <w:jc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在监管司指导下，华中监管局负责。</w:t>
            </w:r>
          </w:p>
        </w:tc>
      </w:tr>
    </w:tbl>
    <w:p>
      <w:pPr>
        <w:spacing w:line="360" w:lineRule="exact"/>
        <w:jc w:val="center"/>
        <w:rPr>
          <w:rFonts w:hint="eastAsia" w:ascii="宋体" w:hAnsi="宋体" w:eastAsia="宋体" w:cs="宋体"/>
          <w:sz w:val="24"/>
          <w:szCs w:val="24"/>
          <w:lang w:val="en-US" w:eastAsia="zh-CN"/>
        </w:rPr>
      </w:pP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3" w:right="1440" w:bottom="170" w:left="1440" w:header="851" w:footer="992" w:gutter="0"/>
      <w:paperSrc/>
      <w:pgNumType w:fmt="decimal" w:start="3"/>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287" w:usb1="080F0000" w:usb2="00000000" w:usb3="00000000" w:csb0="0004009F" w:csb1="DFD70000"/>
  </w:font>
  <w:font w:name="方正小标宋简体">
    <w:altName w:val="黑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Align="top"/>
      <w:pBdr>
        <w:top w:val="none" w:color="auto" w:sz="0" w:space="0"/>
        <w:left w:val="none" w:color="auto" w:sz="0" w:space="0"/>
        <w:bottom w:val="none" w:color="auto" w:sz="0" w:space="0"/>
        <w:right w:val="none" w:color="auto" w:sz="0" w:space="0"/>
        <w:between w:val="none" w:color="auto" w:sz="50" w:space="0"/>
      </w:pBdr>
      <w:spacing w:after="0" w:afterLines="0"/>
    </w:pPr>
    <w:r>
      <w:rPr>
        <w:rStyle w:val="10"/>
        <w:rFonts w:hint="eastAsia" w:ascii="宋体" w:hAnsi="宋体" w:eastAsia="宋体"/>
        <w:sz w:val="28"/>
        <w:lang w:eastAsia="zh-CN"/>
      </w:rPr>
      <w:t>—</w:t>
    </w:r>
    <w:r>
      <w:rPr>
        <w:rStyle w:val="10"/>
        <w:rFonts w:hint="eastAsia" w:ascii="宋体" w:hAnsi="宋体" w:eastAsia="宋体"/>
        <w:sz w:val="28"/>
        <w:lang w:val="en-US" w:eastAsia="zh-CN"/>
      </w:rPr>
      <w:t xml:space="preserve"> </w:t>
    </w:r>
    <w:r>
      <w:rPr>
        <w:rFonts w:hint="eastAsia" w:ascii="宋体" w:hAnsi="宋体" w:eastAsia="宋体"/>
        <w:sz w:val="28"/>
      </w:rPr>
      <w:fldChar w:fldCharType="begin"/>
    </w:r>
    <w:r>
      <w:rPr>
        <w:rStyle w:val="10"/>
        <w:rFonts w:hint="eastAsia" w:ascii="宋体" w:hAnsi="宋体" w:eastAsia="宋体"/>
        <w:sz w:val="28"/>
      </w:rPr>
      <w:instrText xml:space="preserve"> PAGE  </w:instrText>
    </w:r>
    <w:r>
      <w:rPr>
        <w:rFonts w:hint="eastAsia" w:ascii="宋体" w:hAnsi="宋体" w:eastAsia="宋体"/>
        <w:sz w:val="28"/>
      </w:rPr>
      <w:fldChar w:fldCharType="separate"/>
    </w:r>
    <w:r>
      <w:rPr>
        <w:rStyle w:val="10"/>
        <w:rFonts w:hint="eastAsia" w:ascii="宋体" w:hAnsi="宋体" w:eastAsia="宋体"/>
        <w:sz w:val="28"/>
      </w:rPr>
      <w:t>3</w:t>
    </w:r>
    <w:r>
      <w:rPr>
        <w:rFonts w:hint="eastAsia" w:ascii="宋体" w:hAnsi="宋体" w:eastAsia="宋体"/>
        <w:sz w:val="28"/>
      </w:rPr>
      <w:fldChar w:fldCharType="end"/>
    </w:r>
    <w:r>
      <w:rPr>
        <w:rStyle w:val="10"/>
        <w:rFonts w:hint="eastAsia" w:ascii="宋体" w:hAnsi="宋体"/>
        <w:sz w:val="28"/>
        <w:lang w:val="en-US" w:eastAsia="zh-CN"/>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4AD3FDA"/>
    <w:rsid w:val="478974BE"/>
    <w:rsid w:val="605730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黑体"/>
      <w:kern w:val="2"/>
      <w:sz w:val="21"/>
      <w:szCs w:val="22"/>
      <w:lang w:val="en-US" w:eastAsia="zh-CN"/>
    </w:rPr>
  </w:style>
  <w:style w:type="character" w:default="1" w:styleId="9">
    <w:name w:val="Default Paragraph Font"/>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customStyle="1" w:styleId="2">
    <w:name w:val="Heading2"/>
    <w:basedOn w:val="1"/>
    <w:next w:val="1"/>
    <w:uiPriority w:val="0"/>
    <w:pPr>
      <w:keepNext/>
      <w:keepLines/>
      <w:spacing w:line="360" w:lineRule="auto"/>
      <w:ind w:firstLine="880" w:firstLineChars="200"/>
      <w:jc w:val="both"/>
      <w:textAlignment w:val="baseline"/>
    </w:pPr>
    <w:rPr>
      <w:rFonts w:ascii="Arial" w:hAnsi="Arial" w:eastAsia="黑体"/>
      <w:kern w:val="2"/>
      <w:sz w:val="24"/>
      <w:szCs w:val="22"/>
      <w:lang w:val="en-US" w:eastAsia="zh-CN" w:bidi="ar-SA"/>
    </w:rPr>
  </w:style>
  <w:style w:type="paragraph" w:styleId="3">
    <w:name w:val="Body Text"/>
    <w:basedOn w:val="1"/>
    <w:next w:val="4"/>
    <w:uiPriority w:val="0"/>
  </w:style>
  <w:style w:type="paragraph" w:styleId="4">
    <w:name w:val="Title"/>
    <w:basedOn w:val="1"/>
    <w:next w:val="1"/>
    <w:uiPriority w:val="0"/>
    <w:pPr>
      <w:widowControl/>
      <w:spacing w:before="240" w:beforeLines="0" w:after="60" w:afterLines="0" w:line="560" w:lineRule="exact"/>
      <w:jc w:val="center"/>
      <w:outlineLvl w:val="0"/>
    </w:pPr>
    <w:rPr>
      <w:rFonts w:ascii="Arial" w:hAnsi="Arial" w:eastAsia="华文中宋" w:cs="Arial"/>
      <w:b/>
      <w:bCs/>
      <w:color w:val="FF0000"/>
      <w:kern w:val="0"/>
      <w:sz w:val="84"/>
      <w:szCs w:val="32"/>
    </w:rPr>
  </w:style>
  <w:style w:type="paragraph" w:styleId="5">
    <w:name w:val="Balloon Text"/>
    <w:basedOn w:val="1"/>
    <w:link w:val="12"/>
    <w:uiPriority w:val="0"/>
    <w:rPr>
      <w:rFonts w:ascii="Calibri" w:hAnsi="Calibri" w:cs="黑体"/>
      <w:kern w:val="2"/>
      <w:sz w:val="18"/>
      <w:szCs w:val="18"/>
    </w:rPr>
  </w:style>
  <w:style w:type="paragraph" w:styleId="6">
    <w:name w:val="footer"/>
    <w:basedOn w:val="1"/>
    <w:link w:val="13"/>
    <w:uiPriority w:val="0"/>
    <w:pPr>
      <w:tabs>
        <w:tab w:val="center" w:pos="4153"/>
        <w:tab w:val="right" w:pos="8306"/>
      </w:tabs>
      <w:snapToGrid w:val="0"/>
      <w:jc w:val="left"/>
    </w:pPr>
    <w:rPr>
      <w:sz w:val="18"/>
      <w:szCs w:val="18"/>
    </w:rPr>
  </w:style>
  <w:style w:type="paragraph" w:styleId="7">
    <w:name w:val="header"/>
    <w:basedOn w:val="1"/>
    <w:link w:val="14"/>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uiPriority w:val="0"/>
  </w:style>
  <w:style w:type="character" w:styleId="11">
    <w:name w:val="Hyperlink"/>
    <w:uiPriority w:val="0"/>
    <w:rPr>
      <w:color w:val="0000FF"/>
      <w:u w:val="single"/>
    </w:rPr>
  </w:style>
  <w:style w:type="character" w:customStyle="1" w:styleId="12">
    <w:name w:val="批注框文本 Char Char"/>
    <w:link w:val="5"/>
    <w:uiPriority w:val="0"/>
    <w:rPr>
      <w:rFonts w:ascii="Calibri" w:hAnsi="Calibri" w:cs="黑体"/>
      <w:kern w:val="2"/>
      <w:sz w:val="18"/>
      <w:szCs w:val="18"/>
    </w:rPr>
  </w:style>
  <w:style w:type="character" w:customStyle="1" w:styleId="13">
    <w:name w:val="页脚 Char Char"/>
    <w:link w:val="6"/>
    <w:uiPriority w:val="0"/>
    <w:rPr>
      <w:sz w:val="18"/>
      <w:szCs w:val="18"/>
    </w:rPr>
  </w:style>
  <w:style w:type="character" w:customStyle="1" w:styleId="14">
    <w:name w:val="页眉 Char Char"/>
    <w:link w:val="7"/>
    <w:uiPriority w:val="0"/>
    <w:rPr>
      <w:sz w:val="18"/>
      <w:szCs w:val="18"/>
    </w:rPr>
  </w:style>
  <w:style w:type="character" w:customStyle="1" w:styleId="15">
    <w:name w:val="HTML 预设格式 Char"/>
    <w:link w:val="16"/>
    <w:uiPriority w:val="0"/>
    <w:rPr>
      <w:rFonts w:ascii="Courier New" w:hAnsi="Courier New" w:cs="Courier New"/>
      <w:sz w:val="20"/>
      <w:szCs w:val="20"/>
    </w:rPr>
  </w:style>
  <w:style w:type="paragraph" w:customStyle="1" w:styleId="16">
    <w:name w:val="HTML Preformatted"/>
    <w:basedOn w:val="1"/>
    <w:link w:val="15"/>
    <w:uiPriority w:val="0"/>
    <w:rPr>
      <w:rFonts w:ascii="Courier New" w:hAnsi="Courier New" w:cs="Courier New"/>
      <w:sz w:val="20"/>
      <w:szCs w:val="20"/>
    </w:rPr>
  </w:style>
  <w:style w:type="character" w:customStyle="1" w:styleId="17">
    <w:name w:val="日期 Char"/>
    <w:basedOn w:val="9"/>
    <w:link w:val="18"/>
    <w:uiPriority w:val="0"/>
    <w:rPr>
      <w:rFonts w:ascii="Calibri" w:hAnsi="Calibri" w:cs="黑体"/>
      <w:kern w:val="2"/>
      <w:sz w:val="21"/>
      <w:szCs w:val="22"/>
    </w:rPr>
  </w:style>
  <w:style w:type="paragraph" w:customStyle="1" w:styleId="18">
    <w:name w:val="Date"/>
    <w:basedOn w:val="1"/>
    <w:next w:val="1"/>
    <w:link w:val="17"/>
    <w:uiPriority w:val="0"/>
    <w:pPr>
      <w:ind w:left="100" w:leftChars="2500"/>
    </w:pPr>
    <w:rPr>
      <w:rFonts w:ascii="Calibri" w:hAnsi="Calibri" w:cs="黑体"/>
      <w:kern w:val="2"/>
      <w:sz w:val="21"/>
      <w:szCs w:val="22"/>
    </w:rPr>
  </w:style>
  <w:style w:type="paragraph" w:customStyle="1" w:styleId="19">
    <w:name w:val="Normal Indent"/>
    <w:basedOn w:val="1"/>
    <w:uiPriority w:val="0"/>
    <w:pPr>
      <w:ind w:firstLine="420" w:firstLineChars="200"/>
    </w:pPr>
  </w:style>
  <w:style w:type="paragraph" w:customStyle="1" w:styleId="20">
    <w:name w:val="正文首行缩进1"/>
    <w:basedOn w:val="3"/>
    <w:uiPriority w:val="0"/>
    <w:pPr>
      <w:spacing w:line="588" w:lineRule="exact"/>
      <w:ind w:firstLine="88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551</Words>
  <Characters>3147</Characters>
  <Lines>26</Lines>
  <Paragraphs>7</Paragraphs>
  <TotalTime>37.3333333333333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2020-12-13T16:59:00Z</dcterms:created>
  <dc:creator>tiantian</dc:creator>
  <cp:lastModifiedBy>ReviEliot</cp:lastModifiedBy>
  <cp:lastPrinted>2022-01-13T02:53:21Z</cp:lastPrinted>
  <dcterms:modified xsi:type="dcterms:W3CDTF">2022-01-21T07:30:29Z</dcterms:modified>
  <dc:title>Administrator</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1EF4EC58B2B848B6A8FD514F5185EF5D</vt:lpwstr>
  </property>
</Properties>
</file>